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right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819"/>
      </w:tblGrid>
      <w:tr w:rsidR="00D3708F" w:rsidTr="00020362">
        <w:tc>
          <w:tcPr>
            <w:tcW w:w="1526" w:type="dxa"/>
          </w:tcPr>
          <w:p w:rsidR="00D3708F" w:rsidRDefault="00D3708F" w:rsidP="00D3708F"/>
        </w:tc>
        <w:tc>
          <w:tcPr>
            <w:tcW w:w="4819" w:type="dxa"/>
          </w:tcPr>
          <w:p w:rsidR="00020362" w:rsidRPr="00020362" w:rsidRDefault="00020362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>Ill.mi</w:t>
            </w:r>
          </w:p>
          <w:p w:rsidR="00D3708F" w:rsidRPr="00020362" w:rsidRDefault="003F1167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 xml:space="preserve">Presidente del Consiglio dei Ministri </w:t>
            </w:r>
          </w:p>
          <w:p w:rsidR="003F1167" w:rsidRPr="00020362" w:rsidRDefault="003F1167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 xml:space="preserve">Ministro dell’Economia </w:t>
            </w:r>
          </w:p>
          <w:p w:rsidR="003F1167" w:rsidRPr="00020362" w:rsidRDefault="003F1167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 xml:space="preserve">Ministro della Sviluppo Economico </w:t>
            </w:r>
          </w:p>
          <w:p w:rsidR="003F1167" w:rsidRPr="00020362" w:rsidRDefault="003F1167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>Ministro delle Politiche Agricole</w:t>
            </w:r>
          </w:p>
          <w:p w:rsidR="003F1167" w:rsidRPr="00020362" w:rsidRDefault="003F1167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>Ministro dell’Ambiente</w:t>
            </w:r>
          </w:p>
          <w:p w:rsidR="003F1167" w:rsidRPr="00020362" w:rsidRDefault="003F1167" w:rsidP="00D3708F">
            <w:pPr>
              <w:rPr>
                <w:rFonts w:asciiTheme="majorHAnsi" w:hAnsiTheme="majorHAnsi"/>
                <w:b/>
                <w:szCs w:val="24"/>
              </w:rPr>
            </w:pPr>
            <w:r w:rsidRPr="00020362">
              <w:rPr>
                <w:rFonts w:asciiTheme="majorHAnsi" w:hAnsiTheme="majorHAnsi"/>
                <w:b/>
                <w:szCs w:val="24"/>
              </w:rPr>
              <w:t xml:space="preserve">Ministro dei Beni Culturali e Turismo </w:t>
            </w:r>
          </w:p>
          <w:p w:rsidR="003F1167" w:rsidRPr="00020362" w:rsidRDefault="003F1167" w:rsidP="00D3708F">
            <w:pPr>
              <w:rPr>
                <w:rFonts w:asciiTheme="majorHAnsi" w:hAnsiTheme="majorHAnsi"/>
                <w:szCs w:val="24"/>
              </w:rPr>
            </w:pPr>
          </w:p>
          <w:p w:rsidR="00D3708F" w:rsidRPr="00020362" w:rsidRDefault="003F1167" w:rsidP="00D3708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20362">
              <w:rPr>
                <w:rFonts w:asciiTheme="majorHAnsi" w:hAnsiTheme="majorHAnsi"/>
                <w:b/>
                <w:szCs w:val="24"/>
                <w:u w:val="single"/>
              </w:rPr>
              <w:t>Loro SEDI</w:t>
            </w:r>
          </w:p>
        </w:tc>
      </w:tr>
    </w:tbl>
    <w:p w:rsidR="00D3708F" w:rsidRDefault="00D3708F"/>
    <w:p w:rsidR="001F2FE1" w:rsidRDefault="001F2FE1"/>
    <w:p w:rsidR="00D3708F" w:rsidRDefault="00D3708F"/>
    <w:p w:rsidR="00D3708F" w:rsidRDefault="00D3708F"/>
    <w:p w:rsidR="003F1167" w:rsidRDefault="003F1167"/>
    <w:p w:rsidR="003F1167" w:rsidRDefault="003F1167"/>
    <w:p w:rsidR="00797616" w:rsidRPr="00020362" w:rsidRDefault="00797616" w:rsidP="004D607F">
      <w:pPr>
        <w:jc w:val="both"/>
        <w:rPr>
          <w:rFonts w:asciiTheme="majorHAnsi" w:hAnsiTheme="majorHAnsi"/>
        </w:rPr>
      </w:pPr>
      <w:r w:rsidRPr="00020362">
        <w:rPr>
          <w:rFonts w:asciiTheme="majorHAnsi" w:hAnsiTheme="majorHAnsi"/>
        </w:rPr>
        <w:t>In qualità di cittadini, associazioni e comitati</w:t>
      </w:r>
    </w:p>
    <w:p w:rsidR="00797616" w:rsidRPr="00020362" w:rsidRDefault="00020362" w:rsidP="004D607F">
      <w:pPr>
        <w:shd w:val="clear" w:color="auto" w:fill="FFFFFF" w:themeFill="background1"/>
        <w:jc w:val="both"/>
        <w:rPr>
          <w:rFonts w:asciiTheme="majorHAnsi" w:eastAsia="Times New Roman" w:hAnsiTheme="majorHAnsi" w:cs="Times New Roman"/>
          <w:iCs/>
          <w:lang w:eastAsia="it-IT"/>
        </w:rPr>
      </w:pPr>
      <w:r w:rsidRPr="00020362">
        <w:rPr>
          <w:rFonts w:asciiTheme="majorHAnsi" w:hAnsiTheme="majorHAnsi"/>
          <w:b/>
        </w:rPr>
        <w:t>c</w:t>
      </w:r>
      <w:r w:rsidR="00797616" w:rsidRPr="00020362">
        <w:rPr>
          <w:rFonts w:asciiTheme="majorHAnsi" w:hAnsiTheme="majorHAnsi"/>
          <w:b/>
        </w:rPr>
        <w:t>hiediamo</w:t>
      </w:r>
      <w:r w:rsidR="00797616" w:rsidRPr="00020362">
        <w:rPr>
          <w:rFonts w:asciiTheme="majorHAnsi" w:hAnsiTheme="majorHAnsi"/>
        </w:rPr>
        <w:t xml:space="preserve"> che sia adottato </w:t>
      </w:r>
      <w:r w:rsidR="004D607F" w:rsidRPr="00020362">
        <w:rPr>
          <w:rFonts w:asciiTheme="majorHAnsi" w:hAnsiTheme="majorHAnsi"/>
        </w:rPr>
        <w:t>con</w:t>
      </w:r>
      <w:r w:rsidR="00797616" w:rsidRPr="00020362">
        <w:rPr>
          <w:rFonts w:asciiTheme="majorHAnsi" w:hAnsiTheme="majorHAnsi"/>
        </w:rPr>
        <w:t xml:space="preserve"> provvedimento </w:t>
      </w:r>
      <w:r w:rsidR="00797616" w:rsidRPr="00020362">
        <w:rPr>
          <w:rFonts w:asciiTheme="majorHAnsi" w:hAnsiTheme="majorHAnsi"/>
          <w:b/>
        </w:rPr>
        <w:t>urgente</w:t>
      </w:r>
      <w:r w:rsidR="00797616" w:rsidRPr="00020362">
        <w:rPr>
          <w:rFonts w:asciiTheme="majorHAnsi" w:hAnsiTheme="majorHAnsi"/>
        </w:rPr>
        <w:t xml:space="preserve"> un emendamento all’art. 12 </w:t>
      </w:r>
      <w:r w:rsidR="004D607F" w:rsidRPr="00020362">
        <w:rPr>
          <w:rFonts w:asciiTheme="majorHAnsi" w:hAnsiTheme="majorHAnsi"/>
        </w:rPr>
        <w:t xml:space="preserve">del </w:t>
      </w:r>
      <w:r w:rsidR="008822E1">
        <w:rPr>
          <w:rFonts w:asciiTheme="majorHAnsi" w:hAnsiTheme="majorHAnsi"/>
        </w:rPr>
        <w:t>D</w:t>
      </w:r>
      <w:r w:rsidR="004D607F" w:rsidRPr="00020362">
        <w:rPr>
          <w:rFonts w:asciiTheme="majorHAnsi" w:hAnsiTheme="majorHAnsi"/>
        </w:rPr>
        <w:t xml:space="preserve">ecreto </w:t>
      </w:r>
      <w:r w:rsidR="008822E1">
        <w:rPr>
          <w:rFonts w:asciiTheme="majorHAnsi" w:hAnsiTheme="majorHAnsi"/>
        </w:rPr>
        <w:t>L</w:t>
      </w:r>
      <w:r w:rsidR="004D607F" w:rsidRPr="00020362">
        <w:rPr>
          <w:rFonts w:asciiTheme="majorHAnsi" w:hAnsiTheme="majorHAnsi"/>
        </w:rPr>
        <w:t xml:space="preserve">egislativo 29 dicembre 2003, n. 387 </w:t>
      </w:r>
      <w:r w:rsidR="004D607F" w:rsidRPr="00020362">
        <w:rPr>
          <w:rFonts w:asciiTheme="majorHAnsi" w:hAnsiTheme="majorHAnsi"/>
          <w:i/>
        </w:rPr>
        <w:t>“</w:t>
      </w:r>
      <w:r w:rsidR="004D607F" w:rsidRPr="00020362">
        <w:rPr>
          <w:rFonts w:asciiTheme="majorHAnsi" w:eastAsia="Times New Roman" w:hAnsiTheme="majorHAnsi" w:cs="Times New Roman"/>
          <w:i/>
          <w:lang w:eastAsia="it-IT"/>
        </w:rPr>
        <w:t>Attuazione della direttiva 2001/77/CE relativa alla promozione dell'energia elettrica prodotta da fonti energetiche rinnovabili nel mercato interno</w:t>
      </w:r>
      <w:r w:rsidR="004D607F" w:rsidRPr="00020362">
        <w:rPr>
          <w:rFonts w:asciiTheme="majorHAnsi" w:eastAsia="Times New Roman" w:hAnsiTheme="majorHAnsi" w:cs="Times New Roman"/>
          <w:i/>
          <w:shd w:val="clear" w:color="auto" w:fill="F9F8F4"/>
          <w:lang w:eastAsia="it-IT"/>
        </w:rPr>
        <w:t xml:space="preserve"> </w:t>
      </w:r>
      <w:r w:rsidR="004D607F" w:rsidRPr="00020362">
        <w:rPr>
          <w:rFonts w:asciiTheme="majorHAnsi" w:eastAsia="Times New Roman" w:hAnsiTheme="majorHAnsi" w:cs="Times New Roman"/>
          <w:i/>
          <w:lang w:eastAsia="it-IT"/>
        </w:rPr>
        <w:t>dell'elettricità”</w:t>
      </w:r>
      <w:r w:rsidR="004D607F" w:rsidRPr="00020362">
        <w:rPr>
          <w:rFonts w:asciiTheme="majorHAnsi" w:eastAsia="Times New Roman" w:hAnsiTheme="majorHAnsi" w:cs="Times New Roman"/>
          <w:iCs/>
          <w:lang w:eastAsia="it-IT"/>
        </w:rPr>
        <w:t xml:space="preserve"> </w:t>
      </w:r>
      <w:r w:rsidR="00797616" w:rsidRPr="00020362">
        <w:rPr>
          <w:rFonts w:asciiTheme="majorHAnsi" w:hAnsiTheme="majorHAnsi"/>
        </w:rPr>
        <w:t xml:space="preserve">al fine di evitare la nascita di </w:t>
      </w:r>
      <w:r w:rsidR="004D607F" w:rsidRPr="00020362">
        <w:rPr>
          <w:rFonts w:asciiTheme="majorHAnsi" w:hAnsiTheme="majorHAnsi"/>
        </w:rPr>
        <w:t xml:space="preserve">enormi </w:t>
      </w:r>
      <w:r w:rsidR="00797616" w:rsidRPr="00020362">
        <w:rPr>
          <w:rFonts w:asciiTheme="majorHAnsi" w:hAnsiTheme="majorHAnsi"/>
        </w:rPr>
        <w:t>impiant</w:t>
      </w:r>
      <w:r w:rsidR="004D607F" w:rsidRPr="00020362">
        <w:rPr>
          <w:rFonts w:asciiTheme="majorHAnsi" w:hAnsiTheme="majorHAnsi"/>
        </w:rPr>
        <w:t>i</w:t>
      </w:r>
      <w:r w:rsidR="00797616" w:rsidRPr="00020362">
        <w:rPr>
          <w:rFonts w:asciiTheme="majorHAnsi" w:hAnsiTheme="majorHAnsi"/>
        </w:rPr>
        <w:t xml:space="preserve"> termodinamici </w:t>
      </w:r>
      <w:r w:rsidRPr="00020362">
        <w:rPr>
          <w:rFonts w:asciiTheme="majorHAnsi" w:hAnsiTheme="majorHAnsi"/>
        </w:rPr>
        <w:t xml:space="preserve">in area agricola </w:t>
      </w:r>
      <w:r w:rsidR="00797616" w:rsidRPr="00020362">
        <w:rPr>
          <w:rFonts w:asciiTheme="majorHAnsi" w:hAnsiTheme="majorHAnsi"/>
        </w:rPr>
        <w:t xml:space="preserve">in assenza di condivisione con il territorio. </w:t>
      </w:r>
    </w:p>
    <w:p w:rsidR="00797616" w:rsidRPr="00020362" w:rsidRDefault="00797616" w:rsidP="004D607F">
      <w:pPr>
        <w:jc w:val="both"/>
        <w:rPr>
          <w:rFonts w:asciiTheme="majorHAnsi" w:hAnsiTheme="majorHAnsi"/>
        </w:rPr>
      </w:pPr>
      <w:r w:rsidRPr="00020362">
        <w:rPr>
          <w:rFonts w:asciiTheme="majorHAnsi" w:hAnsiTheme="majorHAnsi"/>
        </w:rPr>
        <w:t xml:space="preserve">Tale proposta non vuole essere da impedimento alla realizzazione di impianti solari a tecnologia termodinamica, </w:t>
      </w:r>
      <w:r w:rsidR="004D607F" w:rsidRPr="00020362">
        <w:rPr>
          <w:rFonts w:asciiTheme="majorHAnsi" w:hAnsiTheme="majorHAnsi"/>
        </w:rPr>
        <w:t xml:space="preserve">bensì </w:t>
      </w:r>
      <w:r w:rsidRPr="00020362">
        <w:rPr>
          <w:rFonts w:asciiTheme="majorHAnsi" w:hAnsiTheme="majorHAnsi"/>
        </w:rPr>
        <w:t xml:space="preserve">evitare </w:t>
      </w:r>
      <w:r w:rsidR="004D607F" w:rsidRPr="00020362">
        <w:rPr>
          <w:rFonts w:asciiTheme="majorHAnsi" w:hAnsiTheme="majorHAnsi"/>
        </w:rPr>
        <w:t xml:space="preserve">unicamente </w:t>
      </w:r>
      <w:r w:rsidRPr="00020362">
        <w:rPr>
          <w:rFonts w:asciiTheme="majorHAnsi" w:hAnsiTheme="majorHAnsi"/>
        </w:rPr>
        <w:t>che possa</w:t>
      </w:r>
      <w:r w:rsidR="00020362" w:rsidRPr="00020362">
        <w:rPr>
          <w:rFonts w:asciiTheme="majorHAnsi" w:hAnsiTheme="majorHAnsi"/>
        </w:rPr>
        <w:t>no</w:t>
      </w:r>
      <w:r w:rsidRPr="00020362">
        <w:rPr>
          <w:rFonts w:asciiTheme="majorHAnsi" w:hAnsiTheme="majorHAnsi"/>
        </w:rPr>
        <w:t xml:space="preserve"> essere </w:t>
      </w:r>
      <w:r w:rsidR="00020362" w:rsidRPr="00020362">
        <w:rPr>
          <w:rFonts w:asciiTheme="majorHAnsi" w:hAnsiTheme="majorHAnsi"/>
        </w:rPr>
        <w:t xml:space="preserve">rilasciate </w:t>
      </w:r>
      <w:r w:rsidRPr="00020362">
        <w:rPr>
          <w:rFonts w:asciiTheme="majorHAnsi" w:hAnsiTheme="majorHAnsi"/>
        </w:rPr>
        <w:t>autorizzazioni in assenza di una condivi</w:t>
      </w:r>
      <w:r w:rsidR="004D607F" w:rsidRPr="00020362">
        <w:rPr>
          <w:rFonts w:asciiTheme="majorHAnsi" w:hAnsiTheme="majorHAnsi"/>
        </w:rPr>
        <w:t xml:space="preserve">sione con </w:t>
      </w:r>
      <w:r w:rsidRPr="00020362">
        <w:rPr>
          <w:rFonts w:asciiTheme="majorHAnsi" w:hAnsiTheme="majorHAnsi"/>
        </w:rPr>
        <w:t xml:space="preserve">i diretti interessati </w:t>
      </w:r>
      <w:r w:rsidR="00020362" w:rsidRPr="00020362">
        <w:rPr>
          <w:rFonts w:asciiTheme="majorHAnsi" w:hAnsiTheme="majorHAnsi"/>
        </w:rPr>
        <w:t>quali</w:t>
      </w:r>
      <w:r w:rsidR="004D607F" w:rsidRPr="00020362">
        <w:rPr>
          <w:rFonts w:asciiTheme="majorHAnsi" w:hAnsiTheme="majorHAnsi"/>
        </w:rPr>
        <w:t>,</w:t>
      </w:r>
      <w:r w:rsidRPr="00020362">
        <w:rPr>
          <w:rFonts w:asciiTheme="majorHAnsi" w:hAnsiTheme="majorHAnsi"/>
        </w:rPr>
        <w:t xml:space="preserve"> </w:t>
      </w:r>
      <w:r w:rsidRPr="00020362">
        <w:rPr>
          <w:rFonts w:asciiTheme="majorHAnsi" w:hAnsiTheme="majorHAnsi"/>
          <w:i/>
        </w:rPr>
        <w:t>in primis</w:t>
      </w:r>
      <w:r w:rsidR="004D607F" w:rsidRPr="00020362">
        <w:rPr>
          <w:rFonts w:asciiTheme="majorHAnsi" w:hAnsiTheme="majorHAnsi"/>
        </w:rPr>
        <w:t>,</w:t>
      </w:r>
      <w:r w:rsidRPr="00020362">
        <w:rPr>
          <w:rFonts w:asciiTheme="majorHAnsi" w:hAnsiTheme="majorHAnsi"/>
        </w:rPr>
        <w:t xml:space="preserve"> i proprietari dei </w:t>
      </w:r>
      <w:r w:rsidR="00020362" w:rsidRPr="00020362">
        <w:rPr>
          <w:rFonts w:asciiTheme="majorHAnsi" w:hAnsiTheme="majorHAnsi"/>
        </w:rPr>
        <w:t>terreni agricoli</w:t>
      </w:r>
      <w:r w:rsidR="00EF54E1">
        <w:rPr>
          <w:rFonts w:asciiTheme="majorHAnsi" w:hAnsiTheme="majorHAnsi"/>
        </w:rPr>
        <w:t xml:space="preserve"> ed in secondo luogo con </w:t>
      </w:r>
      <w:r w:rsidRPr="00020362">
        <w:rPr>
          <w:rFonts w:asciiTheme="majorHAnsi" w:hAnsiTheme="majorHAnsi"/>
        </w:rPr>
        <w:t>l’intera comunità</w:t>
      </w:r>
      <w:r w:rsidR="004D607F" w:rsidRPr="00020362">
        <w:rPr>
          <w:rFonts w:asciiTheme="majorHAnsi" w:hAnsiTheme="majorHAnsi"/>
        </w:rPr>
        <w:t xml:space="preserve">. </w:t>
      </w:r>
      <w:r w:rsidRPr="00020362">
        <w:rPr>
          <w:rFonts w:asciiTheme="majorHAnsi" w:hAnsiTheme="majorHAnsi"/>
        </w:rPr>
        <w:t xml:space="preserve"> </w:t>
      </w:r>
    </w:p>
    <w:p w:rsidR="00797616" w:rsidRPr="00020362" w:rsidRDefault="00797616" w:rsidP="004D607F">
      <w:pPr>
        <w:jc w:val="both"/>
        <w:rPr>
          <w:rFonts w:asciiTheme="majorHAnsi" w:hAnsiTheme="majorHAnsi"/>
        </w:rPr>
      </w:pPr>
      <w:r w:rsidRPr="00020362">
        <w:rPr>
          <w:rFonts w:asciiTheme="majorHAnsi" w:hAnsiTheme="majorHAnsi"/>
        </w:rPr>
        <w:t xml:space="preserve">Si chiede </w:t>
      </w:r>
      <w:r w:rsidR="00EF54E1">
        <w:rPr>
          <w:rFonts w:asciiTheme="majorHAnsi" w:hAnsiTheme="majorHAnsi"/>
        </w:rPr>
        <w:t>un allineamento normativo per</w:t>
      </w:r>
      <w:r w:rsidRPr="00020362">
        <w:rPr>
          <w:rFonts w:asciiTheme="majorHAnsi" w:hAnsiTheme="majorHAnsi"/>
        </w:rPr>
        <w:t xml:space="preserve"> </w:t>
      </w:r>
      <w:r w:rsidR="003F1167" w:rsidRPr="00020362">
        <w:rPr>
          <w:rFonts w:asciiTheme="majorHAnsi" w:hAnsiTheme="majorHAnsi"/>
        </w:rPr>
        <w:t>gli impianti a tecnologia solare termodinamica</w:t>
      </w:r>
      <w:r w:rsidRPr="00020362">
        <w:rPr>
          <w:rFonts w:asciiTheme="majorHAnsi" w:hAnsiTheme="majorHAnsi"/>
        </w:rPr>
        <w:t xml:space="preserve"> </w:t>
      </w:r>
      <w:r w:rsidR="00EF54E1">
        <w:rPr>
          <w:rFonts w:asciiTheme="majorHAnsi" w:hAnsiTheme="majorHAnsi"/>
        </w:rPr>
        <w:t>con</w:t>
      </w:r>
      <w:r w:rsidRPr="00020362">
        <w:rPr>
          <w:rFonts w:asciiTheme="majorHAnsi" w:hAnsiTheme="majorHAnsi"/>
        </w:rPr>
        <w:t xml:space="preserve"> quanto già previsto per </w:t>
      </w:r>
      <w:r w:rsidR="003F1167" w:rsidRPr="00020362">
        <w:rPr>
          <w:rFonts w:asciiTheme="majorHAnsi" w:hAnsiTheme="majorHAnsi"/>
        </w:rPr>
        <w:t>gli impianti a tecnologia fotovoltaica</w:t>
      </w:r>
      <w:r w:rsidRPr="00020362">
        <w:rPr>
          <w:rFonts w:asciiTheme="majorHAnsi" w:hAnsiTheme="majorHAnsi"/>
        </w:rPr>
        <w:t xml:space="preserve"> </w:t>
      </w:r>
      <w:r w:rsidR="00EF54E1">
        <w:rPr>
          <w:rFonts w:asciiTheme="majorHAnsi" w:hAnsiTheme="majorHAnsi"/>
        </w:rPr>
        <w:t xml:space="preserve">per </w:t>
      </w:r>
      <w:r w:rsidR="008822E1">
        <w:rPr>
          <w:rFonts w:asciiTheme="majorHAnsi" w:hAnsiTheme="majorHAnsi"/>
        </w:rPr>
        <w:t>i</w:t>
      </w:r>
      <w:r w:rsidR="00EF54E1">
        <w:rPr>
          <w:rFonts w:asciiTheme="majorHAnsi" w:hAnsiTheme="majorHAnsi"/>
        </w:rPr>
        <w:t xml:space="preserve"> qual</w:t>
      </w:r>
      <w:r w:rsidR="008822E1">
        <w:rPr>
          <w:rFonts w:asciiTheme="majorHAnsi" w:hAnsiTheme="majorHAnsi"/>
        </w:rPr>
        <w:t>i,</w:t>
      </w:r>
      <w:r w:rsidR="00EF54E1">
        <w:rPr>
          <w:rFonts w:asciiTheme="majorHAnsi" w:hAnsiTheme="majorHAnsi"/>
        </w:rPr>
        <w:t xml:space="preserve"> ai sensi del</w:t>
      </w:r>
      <w:r w:rsidR="008822E1">
        <w:rPr>
          <w:rFonts w:asciiTheme="majorHAnsi" w:hAnsiTheme="majorHAnsi"/>
        </w:rPr>
        <w:t xml:space="preserve"> comma 4</w:t>
      </w:r>
      <w:r w:rsidRPr="00020362">
        <w:rPr>
          <w:rFonts w:asciiTheme="majorHAnsi" w:hAnsiTheme="majorHAnsi"/>
        </w:rPr>
        <w:t>bis dell’art. 12 del D.Lgs. 387/2003</w:t>
      </w:r>
      <w:r w:rsidR="008822E1">
        <w:rPr>
          <w:rFonts w:asciiTheme="majorHAnsi" w:hAnsiTheme="majorHAnsi"/>
        </w:rPr>
        <w:t>,</w:t>
      </w:r>
      <w:r w:rsidRPr="00020362">
        <w:rPr>
          <w:rFonts w:asciiTheme="majorHAnsi" w:hAnsiTheme="majorHAnsi"/>
        </w:rPr>
        <w:t xml:space="preserve"> si prevede che </w:t>
      </w:r>
      <w:r w:rsidRPr="00020362">
        <w:rPr>
          <w:rFonts w:asciiTheme="majorHAnsi" w:hAnsiTheme="majorHAnsi"/>
          <w:i/>
        </w:rPr>
        <w:t xml:space="preserve">“per la realizzazione di impianti alimentati a biomassa e per impianti fotovoltaici, ferme restando la pubblica utilità e le procedure conseguenti per le opere connesse, </w:t>
      </w:r>
      <w:r w:rsidRPr="00020362">
        <w:rPr>
          <w:rFonts w:asciiTheme="majorHAnsi" w:hAnsiTheme="majorHAnsi"/>
          <w:b/>
          <w:i/>
        </w:rPr>
        <w:t>il proponente deve dimostrare</w:t>
      </w:r>
      <w:r w:rsidRPr="00020362">
        <w:rPr>
          <w:rFonts w:asciiTheme="majorHAnsi" w:hAnsiTheme="majorHAnsi"/>
          <w:i/>
        </w:rPr>
        <w:t xml:space="preserve"> nel corso del procedimento, e comunque prima dell'autorizzazione, </w:t>
      </w:r>
      <w:r w:rsidRPr="00020362">
        <w:rPr>
          <w:rFonts w:asciiTheme="majorHAnsi" w:hAnsiTheme="majorHAnsi"/>
          <w:b/>
          <w:i/>
        </w:rPr>
        <w:t>la disponibilità del suolo su cui realizzare l'impianto</w:t>
      </w:r>
      <w:r w:rsidRPr="00020362">
        <w:rPr>
          <w:rFonts w:asciiTheme="majorHAnsi" w:hAnsiTheme="majorHAnsi"/>
          <w:i/>
        </w:rPr>
        <w:t>”.</w:t>
      </w:r>
    </w:p>
    <w:p w:rsidR="00797616" w:rsidRPr="00020362" w:rsidRDefault="00797616" w:rsidP="004D607F">
      <w:pPr>
        <w:jc w:val="both"/>
        <w:rPr>
          <w:rFonts w:asciiTheme="majorHAnsi" w:hAnsiTheme="majorHAnsi"/>
          <w:shd w:val="clear" w:color="auto" w:fill="F9F8F4"/>
        </w:rPr>
      </w:pPr>
      <w:r w:rsidRPr="00020362">
        <w:rPr>
          <w:rFonts w:asciiTheme="majorHAnsi" w:hAnsiTheme="majorHAnsi"/>
        </w:rPr>
        <w:t xml:space="preserve">È bene ricordare </w:t>
      </w:r>
      <w:r w:rsidR="00EC121C" w:rsidRPr="00020362">
        <w:rPr>
          <w:rFonts w:asciiTheme="majorHAnsi" w:hAnsiTheme="majorHAnsi"/>
        </w:rPr>
        <w:t xml:space="preserve">che </w:t>
      </w:r>
      <w:r w:rsidRPr="00020362">
        <w:rPr>
          <w:rFonts w:asciiTheme="majorHAnsi" w:hAnsiTheme="majorHAnsi"/>
        </w:rPr>
        <w:t xml:space="preserve">il </w:t>
      </w:r>
      <w:r w:rsidR="00EC121C" w:rsidRPr="00020362">
        <w:rPr>
          <w:rFonts w:asciiTheme="majorHAnsi" w:hAnsiTheme="majorHAnsi"/>
        </w:rPr>
        <w:t xml:space="preserve">citato </w:t>
      </w:r>
      <w:r w:rsidRPr="00020362">
        <w:rPr>
          <w:rFonts w:asciiTheme="majorHAnsi" w:hAnsiTheme="majorHAnsi"/>
        </w:rPr>
        <w:t>comma 4 bis venne introdotto</w:t>
      </w:r>
      <w:r w:rsidR="00020362">
        <w:rPr>
          <w:rFonts w:asciiTheme="majorHAnsi" w:hAnsiTheme="majorHAnsi"/>
        </w:rPr>
        <w:t xml:space="preserve"> </w:t>
      </w:r>
      <w:r w:rsidR="00020362" w:rsidRPr="00020362">
        <w:rPr>
          <w:rFonts w:asciiTheme="majorHAnsi" w:hAnsiTheme="majorHAnsi"/>
        </w:rPr>
        <w:t xml:space="preserve">dalla Legge 23 luglio 2009, n. 99 </w:t>
      </w:r>
      <w:r w:rsidR="00020362">
        <w:rPr>
          <w:rFonts w:asciiTheme="majorHAnsi" w:hAnsiTheme="majorHAnsi"/>
        </w:rPr>
        <w:t xml:space="preserve"> </w:t>
      </w:r>
      <w:r w:rsidR="00EF54E1">
        <w:rPr>
          <w:rFonts w:asciiTheme="majorHAnsi" w:hAnsiTheme="majorHAnsi"/>
        </w:rPr>
        <w:t>(</w:t>
      </w:r>
      <w:r w:rsidRPr="00020362">
        <w:rPr>
          <w:rFonts w:asciiTheme="majorHAnsi" w:hAnsiTheme="majorHAnsi"/>
        </w:rPr>
        <w:t xml:space="preserve">art. 27, comma 42) </w:t>
      </w:r>
      <w:r w:rsidR="0097463F">
        <w:rPr>
          <w:rFonts w:asciiTheme="majorHAnsi" w:hAnsiTheme="majorHAnsi"/>
        </w:rPr>
        <w:t xml:space="preserve">al </w:t>
      </w:r>
      <w:r w:rsidRPr="00020362">
        <w:rPr>
          <w:rFonts w:asciiTheme="majorHAnsi" w:hAnsiTheme="majorHAnsi"/>
        </w:rPr>
        <w:t xml:space="preserve">fine di evitare un </w:t>
      </w:r>
      <w:r w:rsidRPr="008822E1">
        <w:rPr>
          <w:rFonts w:asciiTheme="majorHAnsi" w:hAnsiTheme="majorHAnsi"/>
          <w:b/>
        </w:rPr>
        <w:t>uso improprio dell’istituto dell’esproprio</w:t>
      </w:r>
      <w:r w:rsidRPr="00020362">
        <w:rPr>
          <w:rFonts w:asciiTheme="majorHAnsi" w:hAnsiTheme="majorHAnsi"/>
        </w:rPr>
        <w:t xml:space="preserve"> </w:t>
      </w:r>
      <w:r w:rsidR="00020362" w:rsidRPr="008822E1">
        <w:rPr>
          <w:rFonts w:asciiTheme="majorHAnsi" w:hAnsiTheme="majorHAnsi"/>
          <w:b/>
        </w:rPr>
        <w:t>per le aree agricole</w:t>
      </w:r>
      <w:r w:rsidR="0058786A" w:rsidRPr="00020362">
        <w:rPr>
          <w:rFonts w:asciiTheme="majorHAnsi" w:hAnsiTheme="majorHAnsi"/>
        </w:rPr>
        <w:t xml:space="preserve"> interessate dal posizionamento dei pannelli fotovoltaici, ferm</w:t>
      </w:r>
      <w:r w:rsidR="00EF54E1">
        <w:rPr>
          <w:rFonts w:asciiTheme="majorHAnsi" w:hAnsiTheme="majorHAnsi"/>
        </w:rPr>
        <w:t>e</w:t>
      </w:r>
      <w:r w:rsidR="0058786A" w:rsidRPr="00020362">
        <w:rPr>
          <w:rFonts w:asciiTheme="majorHAnsi" w:hAnsiTheme="majorHAnsi"/>
        </w:rPr>
        <w:t xml:space="preserve"> restan</w:t>
      </w:r>
      <w:r w:rsidR="00EF54E1">
        <w:rPr>
          <w:rFonts w:asciiTheme="majorHAnsi" w:hAnsiTheme="majorHAnsi"/>
        </w:rPr>
        <w:t>do</w:t>
      </w:r>
      <w:r w:rsidR="0058786A" w:rsidRPr="00020362">
        <w:rPr>
          <w:rFonts w:asciiTheme="majorHAnsi" w:hAnsiTheme="majorHAnsi"/>
        </w:rPr>
        <w:t xml:space="preserve"> il riconoscimento della pubblica utilità (e quindi la possibilità di ricorrere all’esproprio) per le opere connesse </w:t>
      </w:r>
      <w:r w:rsidR="0097463F">
        <w:rPr>
          <w:rFonts w:asciiTheme="majorHAnsi" w:hAnsiTheme="majorHAnsi"/>
        </w:rPr>
        <w:t xml:space="preserve">e le infrastrutture </w:t>
      </w:r>
      <w:r w:rsidR="0058786A" w:rsidRPr="00020362">
        <w:rPr>
          <w:rFonts w:asciiTheme="majorHAnsi" w:hAnsiTheme="majorHAnsi"/>
        </w:rPr>
        <w:t xml:space="preserve">indispensabili </w:t>
      </w:r>
      <w:r w:rsidR="0097463F">
        <w:rPr>
          <w:rFonts w:asciiTheme="majorHAnsi" w:hAnsiTheme="majorHAnsi"/>
        </w:rPr>
        <w:t xml:space="preserve">alla costruzione e al’esercizio </w:t>
      </w:r>
      <w:r w:rsidR="0058786A" w:rsidRPr="00020362">
        <w:rPr>
          <w:rFonts w:asciiTheme="majorHAnsi" w:hAnsiTheme="majorHAnsi"/>
        </w:rPr>
        <w:t>dell’impianto.</w:t>
      </w:r>
    </w:p>
    <w:p w:rsidR="00521E6A" w:rsidRDefault="0058786A" w:rsidP="003F1167">
      <w:pPr>
        <w:jc w:val="both"/>
        <w:rPr>
          <w:rFonts w:asciiTheme="majorHAnsi" w:hAnsiTheme="majorHAnsi"/>
          <w:shd w:val="clear" w:color="auto" w:fill="F9F8F4"/>
        </w:rPr>
      </w:pPr>
      <w:r w:rsidRPr="00020362">
        <w:rPr>
          <w:rFonts w:asciiTheme="majorHAnsi" w:hAnsiTheme="majorHAnsi"/>
        </w:rPr>
        <w:t xml:space="preserve">È del tutto evidente che la </w:t>
      </w:r>
      <w:r w:rsidRPr="00020362">
        <w:rPr>
          <w:rFonts w:asciiTheme="majorHAnsi" w:hAnsiTheme="majorHAnsi"/>
          <w:i/>
        </w:rPr>
        <w:t>ratio legis</w:t>
      </w:r>
      <w:r w:rsidR="008822E1">
        <w:rPr>
          <w:rFonts w:asciiTheme="majorHAnsi" w:hAnsiTheme="majorHAnsi"/>
          <w:i/>
        </w:rPr>
        <w:t>,</w:t>
      </w:r>
      <w:r w:rsidRPr="00020362">
        <w:rPr>
          <w:rFonts w:asciiTheme="majorHAnsi" w:hAnsiTheme="majorHAnsi"/>
        </w:rPr>
        <w:t xml:space="preserve"> ispiratrice del comma 4bis dell’art. 12 del D.Lgs. 387/2003 per gli impianti fotovoltaici, dovrebbe essere estendibile anche agli impianti a tecnologia solare termodinamica che occuperebbe</w:t>
      </w:r>
      <w:r w:rsidR="00483FB9">
        <w:rPr>
          <w:rFonts w:asciiTheme="majorHAnsi" w:hAnsiTheme="majorHAnsi"/>
        </w:rPr>
        <w:t>ro</w:t>
      </w:r>
      <w:r w:rsidRPr="00020362">
        <w:rPr>
          <w:rFonts w:asciiTheme="majorHAnsi" w:hAnsiTheme="majorHAnsi"/>
        </w:rPr>
        <w:t xml:space="preserve"> terreno agricolo tramite specchi piani o parabolici piuttosto che tramite pannelli fotovoltaici, con l’aggravante che un impianto a tecnologia solare termodinamica viene</w:t>
      </w:r>
      <w:r w:rsidR="00EC121C" w:rsidRPr="00020362">
        <w:rPr>
          <w:rFonts w:asciiTheme="majorHAnsi" w:hAnsiTheme="majorHAnsi"/>
        </w:rPr>
        <w:t xml:space="preserve">, generalmente, </w:t>
      </w:r>
      <w:r w:rsidRPr="00020362">
        <w:rPr>
          <w:rFonts w:asciiTheme="majorHAnsi" w:hAnsiTheme="majorHAnsi"/>
        </w:rPr>
        <w:t xml:space="preserve">proposto </w:t>
      </w:r>
      <w:r w:rsidR="00EC121C" w:rsidRPr="00020362">
        <w:rPr>
          <w:rFonts w:asciiTheme="majorHAnsi" w:hAnsiTheme="majorHAnsi"/>
        </w:rPr>
        <w:t>con</w:t>
      </w:r>
      <w:r w:rsidRPr="00020362">
        <w:rPr>
          <w:rFonts w:asciiTheme="majorHAnsi" w:hAnsiTheme="majorHAnsi"/>
        </w:rPr>
        <w:t xml:space="preserve"> dimensioni significativamente maggiori rispetto al fotovoltaico. In generale</w:t>
      </w:r>
      <w:r w:rsidR="00EC121C" w:rsidRPr="00020362">
        <w:rPr>
          <w:rFonts w:asciiTheme="majorHAnsi" w:hAnsiTheme="majorHAnsi"/>
        </w:rPr>
        <w:t>,</w:t>
      </w:r>
      <w:r w:rsidRPr="00020362">
        <w:rPr>
          <w:rFonts w:asciiTheme="majorHAnsi" w:hAnsiTheme="majorHAnsi"/>
        </w:rPr>
        <w:t xml:space="preserve"> per gli impianti temodinamici vengono propositi progetti di potenza variabile dai 30 ai 50 Mw co</w:t>
      </w:r>
      <w:r w:rsidR="00EC121C" w:rsidRPr="00020362">
        <w:rPr>
          <w:rFonts w:asciiTheme="majorHAnsi" w:hAnsiTheme="majorHAnsi"/>
        </w:rPr>
        <w:t>n</w:t>
      </w:r>
      <w:r w:rsidRPr="00020362">
        <w:rPr>
          <w:rFonts w:asciiTheme="majorHAnsi" w:hAnsiTheme="majorHAnsi"/>
        </w:rPr>
        <w:t xml:space="preserve"> l’occupazione di terreno agricolo variabile dai 130 ai 230 ettari (dai 1.300.000 ai  2.300.000 mq) a fronte di un impianto fotovoltaico che</w:t>
      </w:r>
      <w:r w:rsidR="00EC121C" w:rsidRPr="00020362">
        <w:rPr>
          <w:rFonts w:asciiTheme="majorHAnsi" w:hAnsiTheme="majorHAnsi"/>
        </w:rPr>
        <w:t>,</w:t>
      </w:r>
      <w:r w:rsidR="004D607F" w:rsidRPr="00020362">
        <w:rPr>
          <w:rFonts w:asciiTheme="majorHAnsi" w:hAnsiTheme="majorHAnsi"/>
        </w:rPr>
        <w:t xml:space="preserve"> a pari</w:t>
      </w:r>
      <w:r w:rsidRPr="00020362">
        <w:rPr>
          <w:rFonts w:asciiTheme="majorHAnsi" w:hAnsiTheme="majorHAnsi"/>
        </w:rPr>
        <w:t>t</w:t>
      </w:r>
      <w:r w:rsidR="004D607F" w:rsidRPr="00020362">
        <w:rPr>
          <w:rFonts w:asciiTheme="majorHAnsi" w:hAnsiTheme="majorHAnsi"/>
        </w:rPr>
        <w:t xml:space="preserve">à </w:t>
      </w:r>
      <w:r w:rsidRPr="00020362">
        <w:rPr>
          <w:rFonts w:asciiTheme="majorHAnsi" w:hAnsiTheme="majorHAnsi"/>
        </w:rPr>
        <w:t>di potenza elettrica</w:t>
      </w:r>
      <w:r w:rsidR="00EC121C" w:rsidRPr="00020362">
        <w:rPr>
          <w:rFonts w:asciiTheme="majorHAnsi" w:hAnsiTheme="majorHAnsi"/>
        </w:rPr>
        <w:t>,</w:t>
      </w:r>
      <w:r w:rsidRPr="00020362">
        <w:rPr>
          <w:rFonts w:asciiTheme="majorHAnsi" w:hAnsiTheme="majorHAnsi"/>
        </w:rPr>
        <w:t xml:space="preserve"> occuperebbe una superficie </w:t>
      </w:r>
      <w:r w:rsidR="00483FB9">
        <w:rPr>
          <w:rFonts w:asciiTheme="majorHAnsi" w:hAnsiTheme="majorHAnsi"/>
        </w:rPr>
        <w:t>agricola</w:t>
      </w:r>
      <w:r w:rsidR="004D607F" w:rsidRPr="00020362">
        <w:rPr>
          <w:rFonts w:asciiTheme="majorHAnsi" w:hAnsiTheme="majorHAnsi"/>
        </w:rPr>
        <w:t xml:space="preserve"> quasi la metà. </w:t>
      </w:r>
      <w:r w:rsidR="00020362" w:rsidRPr="00483FB9">
        <w:rPr>
          <w:rFonts w:asciiTheme="majorHAnsi" w:hAnsiTheme="majorHAnsi"/>
        </w:rPr>
        <w:t xml:space="preserve">La richiesta di un preciso provvedimento permetterebbe </w:t>
      </w:r>
      <w:r w:rsidR="00521E6A" w:rsidRPr="00483FB9">
        <w:rPr>
          <w:rFonts w:asciiTheme="majorHAnsi" w:hAnsiTheme="majorHAnsi"/>
        </w:rPr>
        <w:t xml:space="preserve">di avere un </w:t>
      </w:r>
      <w:r w:rsidR="00020362" w:rsidRPr="00483FB9">
        <w:rPr>
          <w:rFonts w:asciiTheme="majorHAnsi" w:hAnsiTheme="majorHAnsi"/>
        </w:rPr>
        <w:t>esplicit</w:t>
      </w:r>
      <w:r w:rsidR="00521E6A" w:rsidRPr="00483FB9">
        <w:rPr>
          <w:rFonts w:asciiTheme="majorHAnsi" w:hAnsiTheme="majorHAnsi"/>
        </w:rPr>
        <w:t>o ed</w:t>
      </w:r>
      <w:r w:rsidR="00020362" w:rsidRPr="00483FB9">
        <w:rPr>
          <w:rFonts w:asciiTheme="majorHAnsi" w:hAnsiTheme="majorHAnsi"/>
        </w:rPr>
        <w:t xml:space="preserve"> inequivocabile </w:t>
      </w:r>
      <w:r w:rsidR="00521E6A" w:rsidRPr="00483FB9">
        <w:rPr>
          <w:rFonts w:asciiTheme="majorHAnsi" w:hAnsiTheme="majorHAnsi"/>
        </w:rPr>
        <w:t>riferimento</w:t>
      </w:r>
      <w:r w:rsidR="00483FB9" w:rsidRPr="00483FB9">
        <w:rPr>
          <w:rFonts w:asciiTheme="majorHAnsi" w:hAnsiTheme="majorHAnsi"/>
        </w:rPr>
        <w:t xml:space="preserve"> </w:t>
      </w:r>
      <w:r w:rsidR="00521E6A" w:rsidRPr="00483FB9">
        <w:rPr>
          <w:rFonts w:asciiTheme="majorHAnsi" w:hAnsiTheme="majorHAnsi"/>
        </w:rPr>
        <w:t>anche per il termodinamico</w:t>
      </w:r>
      <w:r w:rsidR="00521E6A">
        <w:rPr>
          <w:rFonts w:asciiTheme="majorHAnsi" w:hAnsiTheme="majorHAnsi"/>
          <w:shd w:val="clear" w:color="auto" w:fill="F9F8F4"/>
        </w:rPr>
        <w:t xml:space="preserve"> </w:t>
      </w:r>
      <w:r w:rsidR="00521E6A">
        <w:rPr>
          <w:rFonts w:asciiTheme="majorHAnsi" w:hAnsiTheme="majorHAnsi"/>
        </w:rPr>
        <w:t>oltre che per il</w:t>
      </w:r>
      <w:r w:rsidR="00521E6A" w:rsidRPr="00020362">
        <w:rPr>
          <w:rFonts w:asciiTheme="majorHAnsi" w:hAnsiTheme="majorHAnsi"/>
        </w:rPr>
        <w:t xml:space="preserve"> termodinamico con tecnologia ibrida cioè alimentato da una fonte rinnovabile, quale quella solare, e da fonte non solare (</w:t>
      </w:r>
      <w:r w:rsidR="00521E6A">
        <w:rPr>
          <w:rFonts w:asciiTheme="majorHAnsi" w:hAnsiTheme="majorHAnsi"/>
        </w:rPr>
        <w:t>anche</w:t>
      </w:r>
      <w:r w:rsidR="00521E6A" w:rsidRPr="00020362">
        <w:rPr>
          <w:rFonts w:asciiTheme="majorHAnsi" w:hAnsiTheme="majorHAnsi"/>
        </w:rPr>
        <w:t xml:space="preserve"> non rinnovabile)</w:t>
      </w:r>
      <w:r w:rsidR="00521E6A" w:rsidRPr="00020362">
        <w:rPr>
          <w:rFonts w:asciiTheme="majorHAnsi" w:hAnsiTheme="majorHAnsi"/>
          <w:shd w:val="clear" w:color="auto" w:fill="F9F8F4"/>
        </w:rPr>
        <w:t>.</w:t>
      </w:r>
    </w:p>
    <w:p w:rsidR="003F1167" w:rsidRPr="00020362" w:rsidRDefault="003F1167" w:rsidP="004D607F">
      <w:pPr>
        <w:jc w:val="both"/>
        <w:rPr>
          <w:rFonts w:asciiTheme="majorHAnsi" w:hAnsiTheme="majorHAnsi"/>
          <w:shd w:val="clear" w:color="auto" w:fill="F9F8F4"/>
        </w:rPr>
      </w:pPr>
      <w:r w:rsidRPr="00020362">
        <w:rPr>
          <w:rFonts w:asciiTheme="majorHAnsi" w:hAnsiTheme="majorHAnsi"/>
        </w:rPr>
        <w:t xml:space="preserve">Tale richiesta è dettata dall’ormai consolidata definizione </w:t>
      </w:r>
      <w:r w:rsidR="00483FB9">
        <w:rPr>
          <w:rFonts w:asciiTheme="majorHAnsi" w:hAnsiTheme="majorHAnsi"/>
        </w:rPr>
        <w:t>secondo la quale il</w:t>
      </w:r>
      <w:r w:rsidRPr="00020362">
        <w:rPr>
          <w:rFonts w:asciiTheme="majorHAnsi" w:hAnsiTheme="majorHAnsi"/>
          <w:shd w:val="clear" w:color="auto" w:fill="F9F8F4"/>
        </w:rPr>
        <w:t xml:space="preserve"> </w:t>
      </w:r>
      <w:r w:rsidRPr="00020362">
        <w:rPr>
          <w:rFonts w:asciiTheme="majorHAnsi" w:hAnsiTheme="majorHAnsi"/>
          <w:b/>
        </w:rPr>
        <w:t xml:space="preserve">Suolo </w:t>
      </w:r>
      <w:r w:rsidR="00483FB9">
        <w:rPr>
          <w:rFonts w:asciiTheme="majorHAnsi" w:hAnsiTheme="majorHAnsi"/>
          <w:b/>
        </w:rPr>
        <w:t>è</w:t>
      </w:r>
      <w:r w:rsidRPr="00020362">
        <w:rPr>
          <w:rFonts w:asciiTheme="majorHAnsi" w:hAnsiTheme="majorHAnsi"/>
          <w:b/>
        </w:rPr>
        <w:t xml:space="preserve"> un “bene comune”</w:t>
      </w:r>
      <w:r w:rsidR="00483FB9">
        <w:rPr>
          <w:rFonts w:asciiTheme="majorHAnsi" w:hAnsiTheme="majorHAnsi"/>
        </w:rPr>
        <w:t xml:space="preserve">. Inoltre, il </w:t>
      </w:r>
      <w:r w:rsidRPr="00020362">
        <w:rPr>
          <w:rFonts w:asciiTheme="majorHAnsi" w:hAnsiTheme="majorHAnsi"/>
        </w:rPr>
        <w:t xml:space="preserve">provvedimento richiesto si pone in linea con quanto dettato dalla nostra Carta </w:t>
      </w:r>
      <w:r w:rsidRPr="00020362">
        <w:rPr>
          <w:rFonts w:asciiTheme="majorHAnsi" w:hAnsiTheme="majorHAnsi"/>
        </w:rPr>
        <w:lastRenderedPageBreak/>
        <w:t xml:space="preserve">costituzionale che con l’art. 41 afferma che l’iniziativa economica privata è libera, </w:t>
      </w:r>
      <w:r w:rsidRPr="00020362">
        <w:rPr>
          <w:rFonts w:asciiTheme="majorHAnsi" w:hAnsiTheme="majorHAnsi"/>
          <w:b/>
        </w:rPr>
        <w:t>ma non può essere in contrasto con l’utilità sociale</w:t>
      </w:r>
      <w:r w:rsidR="0097463F">
        <w:rPr>
          <w:rFonts w:asciiTheme="majorHAnsi" w:hAnsiTheme="majorHAnsi"/>
        </w:rPr>
        <w:t>; con l’art. 44 viene</w:t>
      </w:r>
      <w:r w:rsidRPr="00020362">
        <w:rPr>
          <w:rFonts w:asciiTheme="majorHAnsi" w:hAnsiTheme="majorHAnsi"/>
        </w:rPr>
        <w:t xml:space="preserve"> associa</w:t>
      </w:r>
      <w:r w:rsidR="0097463F">
        <w:rPr>
          <w:rFonts w:asciiTheme="majorHAnsi" w:hAnsiTheme="majorHAnsi"/>
        </w:rPr>
        <w:t>to</w:t>
      </w:r>
      <w:r w:rsidRPr="00020362">
        <w:rPr>
          <w:rFonts w:asciiTheme="majorHAnsi" w:hAnsiTheme="majorHAnsi"/>
        </w:rPr>
        <w:t xml:space="preserve"> il </w:t>
      </w:r>
      <w:r w:rsidRPr="00020362">
        <w:rPr>
          <w:rFonts w:asciiTheme="majorHAnsi" w:hAnsiTheme="majorHAnsi"/>
          <w:b/>
        </w:rPr>
        <w:t>razionale sfruttamento del Suolo al dovere di garantire equi rapporti sociali</w:t>
      </w:r>
      <w:r w:rsidR="0097463F">
        <w:rPr>
          <w:rFonts w:asciiTheme="majorHAnsi" w:hAnsiTheme="majorHAnsi"/>
          <w:b/>
        </w:rPr>
        <w:t>;</w:t>
      </w:r>
      <w:r w:rsidRPr="00020362">
        <w:rPr>
          <w:rFonts w:asciiTheme="majorHAnsi" w:hAnsiTheme="majorHAnsi"/>
        </w:rPr>
        <w:t xml:space="preserve"> </w:t>
      </w:r>
      <w:r w:rsidR="0097463F">
        <w:rPr>
          <w:rFonts w:asciiTheme="majorHAnsi" w:hAnsiTheme="majorHAnsi"/>
        </w:rPr>
        <w:t xml:space="preserve">con </w:t>
      </w:r>
      <w:r w:rsidRPr="00020362">
        <w:rPr>
          <w:rFonts w:asciiTheme="majorHAnsi" w:hAnsiTheme="majorHAnsi"/>
        </w:rPr>
        <w:t>quanto precisato dalla “Convenzione Europea sul Paesaggio”</w:t>
      </w:r>
      <w:r w:rsidR="00483FB9">
        <w:rPr>
          <w:rFonts w:asciiTheme="majorHAnsi" w:hAnsiTheme="majorHAnsi"/>
        </w:rPr>
        <w:t>,</w:t>
      </w:r>
      <w:r w:rsidRPr="00020362">
        <w:rPr>
          <w:rFonts w:asciiTheme="majorHAnsi" w:hAnsiTheme="majorHAnsi"/>
        </w:rPr>
        <w:t xml:space="preserve"> sottoscritta a Firenze il 20 ottobre 2000 e ratificata dall’Italia con L. 9/1/2006 n. 14, che  ricomprende entro la definizione di </w:t>
      </w:r>
      <w:r w:rsidRPr="00020362">
        <w:rPr>
          <w:rFonts w:asciiTheme="majorHAnsi" w:hAnsiTheme="majorHAnsi"/>
          <w:b/>
        </w:rPr>
        <w:t>“paesaggio” tutti gli spazi  naturali e rurali</w:t>
      </w:r>
      <w:r w:rsidR="0097463F">
        <w:rPr>
          <w:rFonts w:asciiTheme="majorHAnsi" w:hAnsiTheme="majorHAnsi"/>
        </w:rPr>
        <w:t xml:space="preserve"> ed infine con la </w:t>
      </w:r>
      <w:r w:rsidRPr="00020362">
        <w:rPr>
          <w:rFonts w:asciiTheme="majorHAnsi" w:hAnsiTheme="majorHAnsi"/>
          <w:b/>
          <w:shd w:val="clear" w:color="auto" w:fill="FFFFFF"/>
        </w:rPr>
        <w:t>Dichiarazione di Tirana</w:t>
      </w:r>
      <w:r w:rsidRPr="00020362">
        <w:rPr>
          <w:rFonts w:asciiTheme="majorHAnsi" w:hAnsiTheme="majorHAnsi"/>
          <w:shd w:val="clear" w:color="auto" w:fill="FFFFFF"/>
        </w:rPr>
        <w:t>, approvata a maggio del 2011</w:t>
      </w:r>
      <w:r w:rsidR="0097463F">
        <w:rPr>
          <w:rFonts w:asciiTheme="majorHAnsi" w:hAnsiTheme="majorHAnsi"/>
          <w:shd w:val="clear" w:color="auto" w:fill="FFFFFF"/>
        </w:rPr>
        <w:t>,</w:t>
      </w:r>
      <w:r w:rsidR="00521E6A">
        <w:rPr>
          <w:rFonts w:asciiTheme="majorHAnsi" w:hAnsiTheme="majorHAnsi"/>
          <w:shd w:val="clear" w:color="auto" w:fill="FFFFFF"/>
        </w:rPr>
        <w:t xml:space="preserve"> in cui</w:t>
      </w:r>
      <w:r w:rsidRPr="00020362">
        <w:rPr>
          <w:rFonts w:asciiTheme="majorHAnsi" w:hAnsiTheme="majorHAnsi"/>
          <w:shd w:val="clear" w:color="auto" w:fill="FFFFFF"/>
        </w:rPr>
        <w:t xml:space="preserve"> si afferma la necessità di promuovere un </w:t>
      </w:r>
      <w:r w:rsidRPr="00020362">
        <w:rPr>
          <w:rFonts w:asciiTheme="majorHAnsi" w:hAnsiTheme="majorHAnsi"/>
          <w:b/>
          <w:shd w:val="clear" w:color="auto" w:fill="FFFFFF"/>
        </w:rPr>
        <w:t>accesso equo e sicuro alla terra,</w:t>
      </w:r>
      <w:r w:rsidRPr="00020362">
        <w:rPr>
          <w:rFonts w:asciiTheme="majorHAnsi" w:hAnsiTheme="majorHAnsi"/>
          <w:shd w:val="clear" w:color="auto" w:fill="FFFFFF"/>
        </w:rPr>
        <w:t xml:space="preserve"> di promuovere lo sviluppo sostenibile e contribuire all’</w:t>
      </w:r>
      <w:r w:rsidRPr="00020362">
        <w:rPr>
          <w:rFonts w:asciiTheme="majorHAnsi" w:hAnsiTheme="majorHAnsi"/>
          <w:b/>
          <w:shd w:val="clear" w:color="auto" w:fill="FFFFFF"/>
        </w:rPr>
        <w:t>identità</w:t>
      </w:r>
      <w:r w:rsidRPr="00020362">
        <w:rPr>
          <w:rFonts w:asciiTheme="majorHAnsi" w:hAnsiTheme="majorHAnsi"/>
          <w:shd w:val="clear" w:color="auto" w:fill="FFFFFF"/>
        </w:rPr>
        <w:t xml:space="preserve">, </w:t>
      </w:r>
      <w:r w:rsidR="00483FB9">
        <w:rPr>
          <w:rFonts w:asciiTheme="majorHAnsi" w:hAnsiTheme="majorHAnsi"/>
          <w:shd w:val="clear" w:color="auto" w:fill="FFFFFF"/>
        </w:rPr>
        <w:t>al</w:t>
      </w:r>
      <w:r w:rsidRPr="00020362">
        <w:rPr>
          <w:rFonts w:asciiTheme="majorHAnsi" w:hAnsiTheme="majorHAnsi"/>
          <w:shd w:val="clear" w:color="auto" w:fill="FFFFFF"/>
        </w:rPr>
        <w:t xml:space="preserve">la dignità e </w:t>
      </w:r>
      <w:r w:rsidR="00483FB9">
        <w:rPr>
          <w:rFonts w:asciiTheme="majorHAnsi" w:hAnsiTheme="majorHAnsi"/>
          <w:shd w:val="clear" w:color="auto" w:fill="FFFFFF"/>
        </w:rPr>
        <w:t>al</w:t>
      </w:r>
      <w:r w:rsidRPr="00020362">
        <w:rPr>
          <w:rFonts w:asciiTheme="majorHAnsi" w:hAnsiTheme="majorHAnsi"/>
          <w:shd w:val="clear" w:color="auto" w:fill="FFFFFF"/>
        </w:rPr>
        <w:t>l’inclusione sociale</w:t>
      </w:r>
      <w:r w:rsidR="00521E6A">
        <w:rPr>
          <w:rFonts w:asciiTheme="majorHAnsi" w:hAnsiTheme="majorHAnsi"/>
          <w:shd w:val="clear" w:color="auto" w:fill="FFFFFF"/>
        </w:rPr>
        <w:t>,</w:t>
      </w:r>
      <w:r w:rsidRPr="00020362">
        <w:rPr>
          <w:rFonts w:asciiTheme="majorHAnsi" w:hAnsiTheme="majorHAnsi"/>
        </w:rPr>
        <w:t xml:space="preserve"> denuncia</w:t>
      </w:r>
      <w:r w:rsidR="00521E6A">
        <w:rPr>
          <w:rFonts w:asciiTheme="majorHAnsi" w:hAnsiTheme="majorHAnsi"/>
        </w:rPr>
        <w:t>ndo</w:t>
      </w:r>
      <w:r w:rsidRPr="00020362">
        <w:rPr>
          <w:rFonts w:asciiTheme="majorHAnsi" w:hAnsiTheme="majorHAnsi"/>
        </w:rPr>
        <w:t xml:space="preserve"> vigorosamente la pratica dell’accaparramento delle terra</w:t>
      </w:r>
      <w:r w:rsidR="00483FB9">
        <w:rPr>
          <w:rFonts w:asciiTheme="majorHAnsi" w:hAnsiTheme="majorHAnsi"/>
        </w:rPr>
        <w:t xml:space="preserve"> </w:t>
      </w:r>
      <w:r w:rsidR="00521E6A">
        <w:rPr>
          <w:rFonts w:asciiTheme="majorHAnsi" w:hAnsiTheme="majorHAnsi"/>
        </w:rPr>
        <w:t>(</w:t>
      </w:r>
      <w:r w:rsidRPr="00020362">
        <w:rPr>
          <w:rFonts w:asciiTheme="majorHAnsi" w:hAnsiTheme="majorHAnsi"/>
        </w:rPr>
        <w:t xml:space="preserve">c.d. </w:t>
      </w:r>
      <w:r w:rsidRPr="00020362">
        <w:rPr>
          <w:rFonts w:asciiTheme="majorHAnsi" w:hAnsiTheme="majorHAnsi"/>
          <w:i/>
        </w:rPr>
        <w:t>land grabbing</w:t>
      </w:r>
      <w:r w:rsidR="00521E6A">
        <w:rPr>
          <w:rFonts w:asciiTheme="majorHAnsi" w:hAnsiTheme="majorHAnsi"/>
        </w:rPr>
        <w:t>)</w:t>
      </w:r>
      <w:r w:rsidRPr="00020362">
        <w:rPr>
          <w:rFonts w:asciiTheme="majorHAnsi" w:hAnsiTheme="majorHAnsi"/>
        </w:rPr>
        <w:t xml:space="preserve"> definito come </w:t>
      </w:r>
      <w:r w:rsidRPr="00020362">
        <w:rPr>
          <w:rFonts w:asciiTheme="majorHAnsi" w:hAnsiTheme="majorHAnsi"/>
          <w:i/>
        </w:rPr>
        <w:t>“</w:t>
      </w:r>
      <w:r w:rsidRPr="00020362">
        <w:rPr>
          <w:rFonts w:asciiTheme="majorHAnsi" w:hAnsiTheme="majorHAnsi"/>
          <w:i/>
          <w:shd w:val="clear" w:color="auto" w:fill="FFFFFF"/>
        </w:rPr>
        <w:t xml:space="preserve">tutte le </w:t>
      </w:r>
      <w:r w:rsidRPr="00020362">
        <w:rPr>
          <w:rFonts w:asciiTheme="majorHAnsi" w:hAnsiTheme="majorHAnsi"/>
          <w:b/>
          <w:i/>
          <w:shd w:val="clear" w:color="auto" w:fill="FFFFFF"/>
        </w:rPr>
        <w:t>acquisizioni che NON siano basate su una approvazione preliminare, libera, ed informata degli utilizzatori della terra coinvolti”</w:t>
      </w:r>
      <w:r w:rsidRPr="00020362">
        <w:rPr>
          <w:rFonts w:asciiTheme="majorHAnsi" w:hAnsiTheme="majorHAnsi"/>
          <w:i/>
          <w:shd w:val="clear" w:color="auto" w:fill="FFFFFF"/>
        </w:rPr>
        <w:t xml:space="preserve">; </w:t>
      </w:r>
      <w:r w:rsidRPr="00020362">
        <w:rPr>
          <w:rFonts w:asciiTheme="majorHAnsi" w:hAnsiTheme="majorHAnsi"/>
          <w:shd w:val="clear" w:color="auto" w:fill="FFFFFF"/>
        </w:rPr>
        <w:t xml:space="preserve">ed inoltre tutte le acquisizione che </w:t>
      </w:r>
      <w:r w:rsidRPr="00020362">
        <w:rPr>
          <w:rFonts w:asciiTheme="majorHAnsi" w:hAnsiTheme="majorHAnsi"/>
          <w:i/>
          <w:shd w:val="clear" w:color="auto" w:fill="FFFFFF"/>
        </w:rPr>
        <w:t xml:space="preserve">“non siano basate su una </w:t>
      </w:r>
      <w:r w:rsidRPr="00020362">
        <w:rPr>
          <w:rFonts w:asciiTheme="majorHAnsi" w:hAnsiTheme="majorHAnsi"/>
          <w:b/>
          <w:i/>
          <w:shd w:val="clear" w:color="auto" w:fill="FFFFFF"/>
        </w:rPr>
        <w:t>valutazione o trascurino impatti sociali, economici e ambientali</w:t>
      </w:r>
      <w:r w:rsidRPr="00020362">
        <w:rPr>
          <w:rFonts w:asciiTheme="majorHAnsi" w:hAnsiTheme="majorHAnsi"/>
          <w:i/>
          <w:shd w:val="clear" w:color="auto" w:fill="FFFFFF"/>
        </w:rPr>
        <w:t xml:space="preserve">, o di genere; che non siano basati su una </w:t>
      </w:r>
      <w:r w:rsidRPr="00020362">
        <w:rPr>
          <w:rFonts w:asciiTheme="majorHAnsi" w:hAnsiTheme="majorHAnsi"/>
          <w:b/>
          <w:i/>
          <w:shd w:val="clear" w:color="auto" w:fill="FFFFFF"/>
        </w:rPr>
        <w:t>effettiva pianificazione democratica ed un monitoraggio indipendente</w:t>
      </w:r>
      <w:r w:rsidRPr="00020362">
        <w:rPr>
          <w:rFonts w:asciiTheme="majorHAnsi" w:hAnsiTheme="majorHAnsi"/>
          <w:i/>
          <w:shd w:val="clear" w:color="auto" w:fill="FFFFFF"/>
        </w:rPr>
        <w:t xml:space="preserve"> oltre che sul </w:t>
      </w:r>
      <w:r w:rsidRPr="00020362">
        <w:rPr>
          <w:rFonts w:asciiTheme="majorHAnsi" w:hAnsiTheme="majorHAnsi"/>
          <w:b/>
          <w:i/>
          <w:shd w:val="clear" w:color="auto" w:fill="FFFFFF"/>
        </w:rPr>
        <w:t>coinvolgimento di tutte le parti sociali</w:t>
      </w:r>
      <w:r w:rsidRPr="00020362">
        <w:rPr>
          <w:rFonts w:asciiTheme="majorHAnsi" w:hAnsiTheme="majorHAnsi"/>
          <w:i/>
          <w:shd w:val="clear" w:color="auto" w:fill="FFFFFF"/>
        </w:rPr>
        <w:t>”.</w:t>
      </w:r>
      <w:r w:rsidRPr="00020362">
        <w:rPr>
          <w:rFonts w:asciiTheme="majorHAnsi" w:hAnsiTheme="majorHAnsi"/>
          <w:shd w:val="clear" w:color="auto" w:fill="FFFFFF"/>
        </w:rPr>
        <w:t xml:space="preserve"> </w:t>
      </w:r>
    </w:p>
    <w:p w:rsidR="00D83C5F" w:rsidRPr="00020362" w:rsidRDefault="00EC121C" w:rsidP="004D607F">
      <w:pPr>
        <w:jc w:val="both"/>
        <w:rPr>
          <w:rFonts w:asciiTheme="majorHAnsi" w:hAnsiTheme="majorHAnsi"/>
          <w:shd w:val="clear" w:color="auto" w:fill="F9F8F4"/>
        </w:rPr>
      </w:pPr>
      <w:r w:rsidRPr="00020362">
        <w:rPr>
          <w:rFonts w:asciiTheme="majorHAnsi" w:hAnsiTheme="majorHAnsi"/>
        </w:rPr>
        <w:t>Sicuri di ricevere un riscontro urgente e concreto, proponiamo un provvedimento con il seguente testo</w:t>
      </w:r>
      <w:r w:rsidRPr="00020362">
        <w:rPr>
          <w:rFonts w:asciiTheme="majorHAnsi" w:hAnsiTheme="majorHAnsi"/>
          <w:shd w:val="clear" w:color="auto" w:fill="F9F8F4"/>
        </w:rPr>
        <w:t xml:space="preserve">: </w:t>
      </w:r>
    </w:p>
    <w:p w:rsidR="004D607F" w:rsidRPr="00020362" w:rsidRDefault="004D607F" w:rsidP="00EC121C">
      <w:pPr>
        <w:jc w:val="center"/>
        <w:rPr>
          <w:rFonts w:asciiTheme="majorHAnsi" w:hAnsiTheme="majorHAnsi"/>
          <w:b/>
          <w:shd w:val="clear" w:color="auto" w:fill="F9F8F4"/>
        </w:rPr>
      </w:pPr>
      <w:r w:rsidRPr="00020362">
        <w:rPr>
          <w:rFonts w:asciiTheme="majorHAnsi" w:hAnsiTheme="majorHAnsi"/>
          <w:b/>
        </w:rPr>
        <w:t xml:space="preserve">EMENDAMENTO </w:t>
      </w:r>
      <w:r w:rsidR="00D31EDC">
        <w:rPr>
          <w:rFonts w:asciiTheme="majorHAnsi" w:hAnsiTheme="majorHAnsi"/>
          <w:b/>
        </w:rPr>
        <w:t>“</w:t>
      </w:r>
      <w:r w:rsidRPr="00020362">
        <w:rPr>
          <w:rFonts w:asciiTheme="majorHAnsi" w:hAnsiTheme="majorHAnsi"/>
          <w:b/>
        </w:rPr>
        <w:t>TERMODINAMICO CONDIVISO</w:t>
      </w:r>
      <w:r w:rsidR="00D31EDC">
        <w:rPr>
          <w:rFonts w:asciiTheme="majorHAnsi" w:hAnsiTheme="majorHAnsi"/>
          <w:b/>
        </w:rPr>
        <w:t>”</w:t>
      </w:r>
    </w:p>
    <w:p w:rsidR="0058786A" w:rsidRPr="00020362" w:rsidRDefault="004D607F" w:rsidP="00EC121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483FB9">
        <w:rPr>
          <w:rFonts w:asciiTheme="majorHAnsi" w:hAnsiTheme="majorHAnsi"/>
        </w:rPr>
        <w:t>Al</w:t>
      </w:r>
      <w:r w:rsidRPr="00020362">
        <w:rPr>
          <w:rFonts w:asciiTheme="majorHAnsi" w:hAnsiTheme="majorHAnsi"/>
          <w:shd w:val="clear" w:color="auto" w:fill="F9F8F4"/>
        </w:rPr>
        <w:t xml:space="preserve"> </w:t>
      </w:r>
      <w:r w:rsidR="00483FB9">
        <w:rPr>
          <w:rFonts w:asciiTheme="majorHAnsi" w:hAnsiTheme="majorHAnsi"/>
        </w:rPr>
        <w:t>Decreto L</w:t>
      </w:r>
      <w:r w:rsidRPr="00020362">
        <w:rPr>
          <w:rFonts w:asciiTheme="majorHAnsi" w:hAnsiTheme="majorHAnsi"/>
        </w:rPr>
        <w:t>egislativo 29 dicembre 2003, n. 387 è apportata la seguente modifica:</w:t>
      </w:r>
    </w:p>
    <w:p w:rsidR="00EC121C" w:rsidRPr="00521E6A" w:rsidRDefault="00EC121C" w:rsidP="00EC121C">
      <w:pPr>
        <w:pStyle w:val="Paragrafoelenco"/>
        <w:jc w:val="both"/>
        <w:rPr>
          <w:rFonts w:asciiTheme="majorHAnsi" w:hAnsiTheme="majorHAnsi"/>
          <w:sz w:val="4"/>
        </w:rPr>
      </w:pPr>
    </w:p>
    <w:p w:rsidR="004D607F" w:rsidRPr="00020362" w:rsidRDefault="004D607F" w:rsidP="00EC121C">
      <w:pPr>
        <w:pStyle w:val="Paragrafoelenco"/>
        <w:jc w:val="both"/>
        <w:rPr>
          <w:rFonts w:asciiTheme="majorHAnsi" w:hAnsiTheme="majorHAnsi"/>
        </w:rPr>
      </w:pPr>
      <w:r w:rsidRPr="00020362">
        <w:rPr>
          <w:rFonts w:asciiTheme="majorHAnsi" w:hAnsiTheme="majorHAnsi"/>
        </w:rPr>
        <w:t xml:space="preserve">All’art. 12 comma 4 bis le parole </w:t>
      </w:r>
      <w:r w:rsidRPr="00020362">
        <w:rPr>
          <w:rFonts w:asciiTheme="majorHAnsi" w:hAnsiTheme="majorHAnsi"/>
          <w:i/>
        </w:rPr>
        <w:t xml:space="preserve">“Per la realizzazione di impianti alimentati a biomassa e per impianti fotovoltaici” </w:t>
      </w:r>
      <w:r w:rsidRPr="00020362">
        <w:rPr>
          <w:rFonts w:asciiTheme="majorHAnsi" w:hAnsiTheme="majorHAnsi"/>
        </w:rPr>
        <w:t xml:space="preserve">sono sostituite con </w:t>
      </w:r>
      <w:r w:rsidRPr="00020362">
        <w:rPr>
          <w:rFonts w:asciiTheme="majorHAnsi" w:hAnsiTheme="majorHAnsi"/>
          <w:i/>
        </w:rPr>
        <w:t xml:space="preserve">“Per la realizzazione di impianti alimentati a biomassa, per impianti fotovoltaici e per impianti a tecnologia solare termodinamica anche ibrida” </w:t>
      </w:r>
      <w:r w:rsidR="00EC121C" w:rsidRPr="00020362">
        <w:rPr>
          <w:rFonts w:asciiTheme="majorHAnsi" w:hAnsiTheme="majorHAnsi"/>
          <w:i/>
        </w:rPr>
        <w:t>.</w:t>
      </w:r>
    </w:p>
    <w:p w:rsidR="00EC121C" w:rsidRPr="00521E6A" w:rsidRDefault="00EC121C" w:rsidP="00EC121C">
      <w:pPr>
        <w:pStyle w:val="Paragrafoelenco"/>
        <w:jc w:val="both"/>
        <w:rPr>
          <w:rFonts w:asciiTheme="majorHAnsi" w:hAnsiTheme="majorHAnsi"/>
          <w:sz w:val="8"/>
        </w:rPr>
      </w:pPr>
    </w:p>
    <w:p w:rsidR="00EC121C" w:rsidRPr="00020362" w:rsidRDefault="00D3708F" w:rsidP="003F1167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020362">
        <w:rPr>
          <w:rFonts w:asciiTheme="majorHAnsi" w:hAnsiTheme="majorHAnsi" w:cs="Arial"/>
          <w:shd w:val="clear" w:color="auto" w:fill="FFFFFF"/>
        </w:rPr>
        <w:t xml:space="preserve">La prescrizione sulla disponibilità del suolo sui cui realizzare l’impianto </w:t>
      </w:r>
      <w:r w:rsidRPr="00020362">
        <w:rPr>
          <w:rFonts w:asciiTheme="majorHAnsi" w:hAnsiTheme="majorHAnsi"/>
        </w:rPr>
        <w:t xml:space="preserve">alimentato a biomassa, l’impianto fotovoltaico e l’impianto a tecnologia solare termodinamica anche ibrido, </w:t>
      </w:r>
      <w:r w:rsidRPr="00020362">
        <w:rPr>
          <w:rFonts w:asciiTheme="majorHAnsi" w:hAnsiTheme="majorHAnsi" w:cs="Arial"/>
          <w:shd w:val="clear" w:color="auto" w:fill="FFFFFF"/>
        </w:rPr>
        <w:t>si applica a tutte le proposte progettuali che non hanno ancora presentato istanza alla data di entra in vigore del presente provvedimento nonché a tutte quelle istanze per le quali non si è ancora avuto un esito positivo della Conferenza di Servizi alla</w:t>
      </w:r>
      <w:r w:rsidR="00EC121C" w:rsidRPr="00020362">
        <w:rPr>
          <w:rFonts w:asciiTheme="majorHAnsi" w:hAnsiTheme="majorHAnsi" w:cs="Arial"/>
          <w:shd w:val="clear" w:color="auto" w:fill="FFFFFF"/>
        </w:rPr>
        <w:t xml:space="preserve"> data di entrata in vigore </w:t>
      </w:r>
      <w:r w:rsidRPr="00020362">
        <w:rPr>
          <w:rFonts w:asciiTheme="majorHAnsi" w:hAnsiTheme="majorHAnsi" w:cs="Arial"/>
          <w:shd w:val="clear" w:color="auto" w:fill="FFFFFF"/>
        </w:rPr>
        <w:t xml:space="preserve">del presente provvedimento. </w:t>
      </w:r>
    </w:p>
    <w:p w:rsidR="00521E6A" w:rsidRPr="00521E6A" w:rsidRDefault="00521E6A" w:rsidP="004D607F">
      <w:pPr>
        <w:jc w:val="both"/>
        <w:rPr>
          <w:rFonts w:asciiTheme="majorHAnsi" w:hAnsiTheme="majorHAnsi"/>
          <w:sz w:val="2"/>
        </w:rPr>
      </w:pPr>
    </w:p>
    <w:p w:rsidR="00797616" w:rsidRPr="00020362" w:rsidRDefault="004D607F" w:rsidP="004D607F">
      <w:pPr>
        <w:jc w:val="both"/>
        <w:rPr>
          <w:rFonts w:asciiTheme="majorHAnsi" w:hAnsiTheme="majorHAnsi"/>
        </w:rPr>
      </w:pPr>
      <w:r w:rsidRPr="00020362">
        <w:rPr>
          <w:rFonts w:asciiTheme="majorHAnsi" w:hAnsiTheme="majorHAnsi"/>
        </w:rPr>
        <w:t xml:space="preserve">Nell’attesa si ringrazia per l’attenzione. </w:t>
      </w:r>
    </w:p>
    <w:sectPr w:rsidR="00797616" w:rsidRPr="00020362" w:rsidSect="00521E6A">
      <w:headerReference w:type="default" r:id="rId8"/>
      <w:footerReference w:type="default" r:id="rId9"/>
      <w:pgSz w:w="11906" w:h="16838"/>
      <w:pgMar w:top="958" w:right="1134" w:bottom="1134" w:left="1134" w:header="567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B8" w:rsidRDefault="004F78B8" w:rsidP="00521E6A">
      <w:pPr>
        <w:spacing w:after="0" w:line="240" w:lineRule="auto"/>
      </w:pPr>
      <w:r>
        <w:separator/>
      </w:r>
    </w:p>
  </w:endnote>
  <w:endnote w:type="continuationSeparator" w:id="1">
    <w:p w:rsidR="004F78B8" w:rsidRDefault="004F78B8" w:rsidP="0052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954"/>
      <w:docPartObj>
        <w:docPartGallery w:val="Page Numbers (Bottom of Page)"/>
        <w:docPartUnique/>
      </w:docPartObj>
    </w:sdtPr>
    <w:sdtContent>
      <w:p w:rsidR="00521E6A" w:rsidRPr="00521E6A" w:rsidRDefault="00521E6A">
        <w:pPr>
          <w:pStyle w:val="Pidipagina"/>
          <w:jc w:val="right"/>
          <w:rPr>
            <w:rFonts w:ascii="Times New Roman" w:hAnsi="Times New Roman" w:cs="Times New Roman"/>
          </w:rPr>
        </w:pPr>
        <w:r w:rsidRPr="00521E6A">
          <w:rPr>
            <w:rFonts w:ascii="Times New Roman" w:hAnsi="Times New Roman" w:cs="Times New Roman"/>
          </w:rPr>
          <w:t>_______________________________________________________________________________________</w:t>
        </w:r>
      </w:p>
      <w:p w:rsidR="00521E6A" w:rsidRDefault="00521E6A">
        <w:pPr>
          <w:pStyle w:val="Pidipagina"/>
          <w:jc w:val="right"/>
        </w:pPr>
        <w:r w:rsidRPr="00521E6A">
          <w:rPr>
            <w:rFonts w:ascii="Times New Roman" w:hAnsi="Times New Roman" w:cs="Times New Roman"/>
            <w:sz w:val="20"/>
          </w:rPr>
          <w:fldChar w:fldCharType="begin"/>
        </w:r>
        <w:r w:rsidRPr="00521E6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21E6A">
          <w:rPr>
            <w:rFonts w:ascii="Times New Roman" w:hAnsi="Times New Roman" w:cs="Times New Roman"/>
            <w:sz w:val="20"/>
          </w:rPr>
          <w:fldChar w:fldCharType="separate"/>
        </w:r>
        <w:r w:rsidR="00AF2753">
          <w:rPr>
            <w:rFonts w:ascii="Times New Roman" w:hAnsi="Times New Roman" w:cs="Times New Roman"/>
            <w:noProof/>
            <w:sz w:val="20"/>
          </w:rPr>
          <w:t>2</w:t>
        </w:r>
        <w:r w:rsidRPr="00521E6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21E6A" w:rsidRDefault="00521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B8" w:rsidRDefault="004F78B8" w:rsidP="00521E6A">
      <w:pPr>
        <w:spacing w:after="0" w:line="240" w:lineRule="auto"/>
      </w:pPr>
      <w:r>
        <w:separator/>
      </w:r>
    </w:p>
  </w:footnote>
  <w:footnote w:type="continuationSeparator" w:id="1">
    <w:p w:rsidR="004F78B8" w:rsidRDefault="004F78B8" w:rsidP="0052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6A" w:rsidRPr="00521E6A" w:rsidRDefault="00521E6A">
    <w:pPr>
      <w:pStyle w:val="Intestazione"/>
      <w:rPr>
        <w:rFonts w:ascii="Times New Roman" w:hAnsi="Times New Roman" w:cs="Times New Roman"/>
      </w:rPr>
    </w:pPr>
    <w:r w:rsidRPr="00521E6A">
      <w:rPr>
        <w:rFonts w:ascii="Times New Roman" w:hAnsi="Times New Roman" w:cs="Times New Roman"/>
      </w:rP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2F97"/>
    <w:multiLevelType w:val="hybridMultilevel"/>
    <w:tmpl w:val="D2EC696A"/>
    <w:lvl w:ilvl="0" w:tplc="610A24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36D5"/>
    <w:multiLevelType w:val="hybridMultilevel"/>
    <w:tmpl w:val="60F8A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616"/>
    <w:rsid w:val="00020362"/>
    <w:rsid w:val="001F2FE1"/>
    <w:rsid w:val="003F1167"/>
    <w:rsid w:val="00483FB9"/>
    <w:rsid w:val="004D607F"/>
    <w:rsid w:val="004F78B8"/>
    <w:rsid w:val="00521E6A"/>
    <w:rsid w:val="0058786A"/>
    <w:rsid w:val="006B3C36"/>
    <w:rsid w:val="00797616"/>
    <w:rsid w:val="008822E1"/>
    <w:rsid w:val="0097463F"/>
    <w:rsid w:val="00AF2753"/>
    <w:rsid w:val="00D31EDC"/>
    <w:rsid w:val="00D3708F"/>
    <w:rsid w:val="00D83C5F"/>
    <w:rsid w:val="00E56AE2"/>
    <w:rsid w:val="00EC121C"/>
    <w:rsid w:val="00EF54E1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E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61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97616"/>
  </w:style>
  <w:style w:type="paragraph" w:styleId="Paragrafoelenco">
    <w:name w:val="List Paragraph"/>
    <w:basedOn w:val="Normale"/>
    <w:uiPriority w:val="34"/>
    <w:qFormat/>
    <w:rsid w:val="004D60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7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F1167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1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1E6A"/>
  </w:style>
  <w:style w:type="paragraph" w:styleId="Pidipagina">
    <w:name w:val="footer"/>
    <w:basedOn w:val="Normale"/>
    <w:link w:val="PidipaginaCarattere"/>
    <w:uiPriority w:val="99"/>
    <w:unhideWhenUsed/>
    <w:rsid w:val="00521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682B-0F5E-4F0B-9976-187351C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Utente_1</dc:creator>
  <cp:keywords/>
  <dc:description/>
  <cp:lastModifiedBy>Utente_1</cp:lastModifiedBy>
  <cp:revision>7</cp:revision>
  <cp:lastPrinted>2014-03-17T22:06:00Z</cp:lastPrinted>
  <dcterms:created xsi:type="dcterms:W3CDTF">2014-03-17T18:08:00Z</dcterms:created>
  <dcterms:modified xsi:type="dcterms:W3CDTF">2014-03-17T22:06:00Z</dcterms:modified>
</cp:coreProperties>
</file>